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44" w:rsidRPr="00733344" w:rsidRDefault="00733344" w:rsidP="00733344">
      <w:pPr>
        <w:jc w:val="both"/>
        <w:rPr>
          <w:rFonts w:ascii="Times New Roman" w:eastAsiaTheme="minorEastAsia" w:hAnsi="Times New Roman" w:cs="Times New Roman"/>
          <w:b/>
          <w:sz w:val="32"/>
          <w:lang w:eastAsia="zh-TW"/>
        </w:rPr>
      </w:pPr>
      <w:r w:rsidRPr="00733344">
        <w:rPr>
          <w:rFonts w:ascii="Times New Roman" w:eastAsiaTheme="minorEastAsia" w:hAnsi="Times New Roman" w:cs="Times New Roman"/>
          <w:b/>
          <w:sz w:val="32"/>
          <w:lang w:eastAsia="zh-TW"/>
        </w:rPr>
        <w:t>互被動，</w:t>
      </w:r>
      <w:r w:rsidRPr="00733344">
        <w:rPr>
          <w:rFonts w:ascii="Times New Roman" w:eastAsiaTheme="minorEastAsia" w:hAnsi="Times New Roman" w:cs="Times New Roman"/>
          <w:b/>
          <w:sz w:val="32"/>
          <w:lang w:eastAsia="zh-TW"/>
        </w:rPr>
        <w:t xml:space="preserve"> </w:t>
      </w:r>
      <w:proofErr w:type="gramStart"/>
      <w:r w:rsidRPr="00733344">
        <w:rPr>
          <w:rFonts w:ascii="Times New Roman" w:eastAsiaTheme="minorEastAsia" w:hAnsi="Times New Roman" w:cs="Times New Roman"/>
          <w:b/>
          <w:sz w:val="32"/>
          <w:lang w:eastAsia="zh-TW"/>
        </w:rPr>
        <w:t>從克隆</w:t>
      </w:r>
      <w:proofErr w:type="gramEnd"/>
      <w:r w:rsidRPr="00733344">
        <w:rPr>
          <w:rFonts w:ascii="Times New Roman" w:eastAsiaTheme="minorEastAsia" w:hAnsi="Times New Roman" w:cs="Times New Roman"/>
          <w:b/>
          <w:sz w:val="32"/>
          <w:lang w:eastAsia="zh-TW"/>
        </w:rPr>
        <w:t>之中</w:t>
      </w:r>
    </w:p>
    <w:p w:rsidR="00733344" w:rsidRPr="009C145C" w:rsidRDefault="00733344" w:rsidP="00733344">
      <w:pPr>
        <w:jc w:val="both"/>
        <w:rPr>
          <w:rFonts w:ascii="Times New Roman" w:eastAsiaTheme="minorEastAsia" w:hAnsi="Times New Roman" w:cs="Times New Roman"/>
          <w:sz w:val="16"/>
          <w:szCs w:val="16"/>
          <w:lang w:eastAsia="zh-TW"/>
        </w:rPr>
      </w:pPr>
    </w:p>
    <w:p w:rsidR="00733344" w:rsidRPr="007417C2" w:rsidRDefault="00733344" w:rsidP="00733344">
      <w:pPr>
        <w:jc w:val="both"/>
        <w:rPr>
          <w:rFonts w:ascii="Times New Roman" w:eastAsiaTheme="minorEastAsia" w:hAnsi="Times New Roman" w:cs="Times New Roman"/>
          <w:sz w:val="20"/>
          <w:szCs w:val="16"/>
          <w:lang w:eastAsia="zh-TW"/>
        </w:rPr>
      </w:pP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林宏璋</w:t>
      </w:r>
    </w:p>
    <w:p w:rsidR="00733344" w:rsidRPr="007417C2" w:rsidRDefault="00733344" w:rsidP="00733344">
      <w:pPr>
        <w:jc w:val="both"/>
        <w:rPr>
          <w:rFonts w:ascii="Times New Roman" w:eastAsiaTheme="minorEastAsia" w:hAnsi="Times New Roman" w:cs="Times New Roman"/>
          <w:sz w:val="20"/>
          <w:szCs w:val="16"/>
          <w:lang w:eastAsia="zh-TW"/>
        </w:rPr>
      </w:pPr>
      <w:r w:rsidRPr="007417C2">
        <w:rPr>
          <w:rFonts w:ascii="Times New Roman" w:eastAsiaTheme="minorEastAsia" w:hAnsi="Times New Roman" w:cs="Times New Roman" w:hint="eastAsia"/>
          <w:sz w:val="20"/>
          <w:szCs w:val="16"/>
          <w:lang w:eastAsia="zh-TW"/>
        </w:rPr>
        <w:t>紐約大學藝術人文博士</w:t>
      </w:r>
    </w:p>
    <w:p w:rsidR="00733344" w:rsidRPr="007417C2" w:rsidRDefault="00733344" w:rsidP="00733344">
      <w:pPr>
        <w:jc w:val="both"/>
        <w:rPr>
          <w:rFonts w:ascii="Times New Roman" w:eastAsiaTheme="minorEastAsia" w:hAnsi="Times New Roman" w:cs="Times New Roman"/>
          <w:sz w:val="20"/>
          <w:szCs w:val="16"/>
          <w:lang w:eastAsia="zh-TW"/>
        </w:rPr>
      </w:pPr>
      <w:r w:rsidRPr="007417C2">
        <w:rPr>
          <w:rFonts w:ascii="Times New Roman" w:eastAsiaTheme="minorEastAsia" w:hAnsi="Times New Roman" w:cs="Times New Roman" w:hint="eastAsia"/>
          <w:sz w:val="20"/>
          <w:szCs w:val="16"/>
          <w:lang w:eastAsia="zh-TW"/>
        </w:rPr>
        <w:t>台北雙年展暨威尼斯雙年展台灣館策展人</w:t>
      </w:r>
    </w:p>
    <w:p w:rsidR="00733344" w:rsidRPr="007417C2" w:rsidRDefault="00733344" w:rsidP="00733344">
      <w:pPr>
        <w:jc w:val="both"/>
        <w:rPr>
          <w:rFonts w:ascii="Times New Roman" w:eastAsiaTheme="minorEastAsia" w:hAnsi="Times New Roman" w:cs="Times New Roman"/>
          <w:sz w:val="20"/>
          <w:szCs w:val="16"/>
          <w:lang w:eastAsia="zh-TW"/>
        </w:rPr>
      </w:pPr>
    </w:p>
    <w:p w:rsidR="00733344" w:rsidRPr="007417C2" w:rsidRDefault="00733344" w:rsidP="00733344">
      <w:pPr>
        <w:jc w:val="both"/>
        <w:rPr>
          <w:rFonts w:ascii="Times New Roman" w:eastAsiaTheme="minorEastAsia" w:hAnsi="Times New Roman" w:cs="Times New Roman"/>
          <w:sz w:val="20"/>
          <w:szCs w:val="16"/>
          <w:lang w:eastAsia="zh-TW"/>
        </w:rPr>
      </w:pP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任何一種藝術都不僅僅展現藝術的內容及主題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──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作品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內部（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interiority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）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──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同時顯示了其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外部（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exteriority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），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也就是作品的邊界（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extremity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）。這種情況在新媒體藝術中特別顯著，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因為藝術作品的展現總是包含著藝術與科技混雜與依存關係，作品特別不能脫離技術，或者，沒有技術就沒有作品；從這個關係中看來，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新媒體藝術的作品是一種對於技術特定性的回應，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從外在技術連接到作品的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內部，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換言之，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科技藝術反應作品製造當時的科技水平與狀態，或者，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其製造條件。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這是一種對於技術存有學的概念延伸到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Bruno </w:t>
      </w:r>
      <w:proofErr w:type="spell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Latour</w:t>
      </w:r>
      <w:proofErr w:type="spell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對人類的宣稱：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與其說是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「具有智慧的靈長類（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Homo Sapiens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）」，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還未如是「具有技術的靈長類（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Homo Techno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）」。科技藝術的「智慧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」實際上端賴於人與技術的連接的關係，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而如此的關係聯繫著人與科技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中互役的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「主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僕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辯證」上。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</w:p>
    <w:p w:rsidR="00733344" w:rsidRPr="007417C2" w:rsidRDefault="00733344" w:rsidP="00733344">
      <w:pPr>
        <w:jc w:val="both"/>
        <w:rPr>
          <w:rFonts w:ascii="Times New Roman" w:eastAsiaTheme="minorEastAsia" w:hAnsi="Times New Roman" w:cs="Times New Roman"/>
          <w:sz w:val="20"/>
          <w:szCs w:val="16"/>
          <w:lang w:eastAsia="zh-TW"/>
        </w:rPr>
      </w:pPr>
    </w:p>
    <w:p w:rsidR="00733344" w:rsidRPr="007417C2" w:rsidRDefault="00733344" w:rsidP="00733344">
      <w:pPr>
        <w:jc w:val="both"/>
        <w:rPr>
          <w:rFonts w:ascii="Times New Roman" w:eastAsiaTheme="minorEastAsia" w:hAnsi="Times New Roman" w:cs="Times New Roman"/>
          <w:sz w:val="20"/>
          <w:szCs w:val="16"/>
          <w:lang w:eastAsia="zh-TW"/>
        </w:rPr>
      </w:pPr>
      <w:r w:rsidRPr="007417C2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林</w:t>
      </w:r>
      <w:proofErr w:type="gramStart"/>
      <w:r w:rsidRPr="007417C2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珮淳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的作品一直利用虛擬技術創作模擬生命狀態的情境，同時也利用作品評論科技的發展狀態。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其近作</w:t>
      </w:r>
      <w:proofErr w:type="gramEnd"/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</w:rPr>
        <w:t>《</w:t>
      </w:r>
      <w:proofErr w:type="spellStart"/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</w:rPr>
        <w:t>夏娃克隆系列</w:t>
      </w:r>
      <w:proofErr w:type="spellEnd"/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</w:rPr>
        <w:t>》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使用全息攝影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在昏暗場景呈現女人及撒旦的混合形象，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音樂及燈光配合製造類似「全感官」（</w:t>
      </w:r>
      <w:proofErr w:type="spell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synaesthetic</w:t>
      </w:r>
      <w:proofErr w:type="spell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）的展演經驗，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並置聖經啓示錄的文字，在女人／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撒旦／妓女／異教徒等等的這些「克隆」身分呈現一個複性單數（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pluralistic singularity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）邪惡本質。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擬真的陳設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保存著克隆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版本的夏娃在實驗室科幻場景以檔案方式存在，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在觀看的經驗上呈現出一個「誤入」科技廢墟的死亡場景。然而，有趣的是這些夏娃檔案並非靜止不動，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而是與觀者的目光對峙的互動，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尤其在要離開展間，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透過「歪斜觀看」（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looking Awry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）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全息攝影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幻象效果，呈現出一個觀看者成為「被觀看者」的反轉情境，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同時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也是擬物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／克隆（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simulacrum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／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clone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）對於人的凝視。</w:t>
      </w:r>
    </w:p>
    <w:p w:rsidR="00733344" w:rsidRPr="007417C2" w:rsidRDefault="00733344" w:rsidP="00733344">
      <w:pPr>
        <w:jc w:val="both"/>
        <w:rPr>
          <w:rFonts w:ascii="Times New Roman" w:eastAsiaTheme="minorEastAsia" w:hAnsi="Times New Roman" w:cs="Times New Roman"/>
          <w:sz w:val="20"/>
          <w:szCs w:val="16"/>
          <w:lang w:eastAsia="zh-TW"/>
        </w:rPr>
      </w:pPr>
    </w:p>
    <w:p w:rsidR="00733344" w:rsidRPr="007417C2" w:rsidRDefault="00733344" w:rsidP="00733344">
      <w:pPr>
        <w:jc w:val="both"/>
        <w:rPr>
          <w:rFonts w:ascii="Times New Roman" w:eastAsiaTheme="minorEastAsia" w:hAnsi="Times New Roman" w:cs="Times New Roman"/>
          <w:sz w:val="20"/>
          <w:szCs w:val="16"/>
          <w:lang w:eastAsia="zh-CN"/>
        </w:rPr>
      </w:pP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我們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知道拉崗凝視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心理機制的重點，不是在於主動觀看，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也不是主體被引誘進入的觀看模式，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而是觀看主、客體位置的調換。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在</w:t>
      </w:r>
      <w:proofErr w:type="gramStart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拉崗式的</w:t>
      </w:r>
      <w:proofErr w:type="gramEnd"/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心理分析中所有的凝視的主客體關係在一個被動語態（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passive voice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）中完成：我知道我同時在這個畫面中被凝視，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這是一種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詭譎（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uncanny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）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的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看與被看的模式的互主體的網絡。即便沒有發生任何觀看的行為，也可以感覺到他者正在窺視自我的存在。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在這個過程，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自我成為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他者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」，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同時也是讓「我」成為他者凝視的物件。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這個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如同「老大哥」般的他者，讓原本觀看的主體，成為被看的對象，成為一個「物件（客體）」。這個在一般的詮釋過程成為「主、客體」的易位場合中，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值得點出的是其牽涉的問題不僅僅是觀看影像間所發生關係，而是觀看者主體與他者的關連，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如「他者也知道我是一個知道自己正被看的物件（客體）」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。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在這之中的視覺驅力，其語態，不僅僅一個主動語態（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active voice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）－我看見，也是一個反身語態（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reflexive voice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）－我看到自己。而更為重要的是在第三個階段被動語態讓我自己被看見。只有在這個慾望語態中，才能完成整個驅力的模組。換言之，主體重視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lastRenderedPageBreak/>
        <w:t>保有其主動的方式，但只有在讓「我看到我自己看見自己（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I saw myself seeing myself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）」中，在這個與原本交互的位置中，他者也知道我是一個知道自己正被看的物件（客體）。</w:t>
      </w:r>
      <w:r w:rsidRPr="007417C2">
        <w:rPr>
          <w:rStyle w:val="a9"/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footnoteReference w:id="1"/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在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《夏娃克隆系列》中攝入主體的被觀看情境，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這個被觀看情境是一個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3D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全息的擬仿物，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在製造這些影像的過程中沒有原件，只有套件（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module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），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換言之，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在一個無原件的拷貝。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更有甚者，即便在作品中試圖利用科技</w:t>
      </w:r>
      <w:proofErr w:type="gramStart"/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摹仿著克隆</w:t>
      </w:r>
      <w:proofErr w:type="gramEnd"/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女人的樣態，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並且利用各式各樣的裝置手法的展現</w:t>
      </w:r>
      <w:proofErr w:type="gramStart"/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的擬像</w:t>
      </w:r>
      <w:proofErr w:type="gramEnd"/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無論再如何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逼真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」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，並非真實的</w:t>
      </w:r>
      <w:proofErr w:type="gramStart"/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克隆人</w:t>
      </w:r>
      <w:proofErr w:type="gramEnd"/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而是一個不完全的摹仿。換句話說，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這個類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3D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的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藝術作品模仿了他們所再現的物件，但是其目標並非再現原件。我們只能說在這件作品中對於一個想像物件的模擬過程中，產生了從這個想像物件的體系。因而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夏娃的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克隆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」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僅僅是假裝模仿。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如拉崗所言：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藝術是建立了一個與物（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The Thing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）的關聯，企圖圍繞著它，使它顯現與消逝。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」</w:t>
      </w:r>
      <w:r w:rsidRPr="007417C2">
        <w:rPr>
          <w:rStyle w:val="a9"/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footnoteReference w:id="2"/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從這裡我們可以看到攝入主體的被觀看網絡中的凝視大他者，不是陳列中的類女人／撒旦形象擬仿，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而是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科技</w:t>
      </w:r>
      <w:r w:rsidRPr="007417C2">
        <w:rPr>
          <w:rFonts w:ascii="Times New Roman" w:eastAsiaTheme="minorEastAsia" w:hAnsi="Times New Roman" w:cs="Times New Roman"/>
          <w:sz w:val="20"/>
          <w:szCs w:val="16"/>
          <w:lang w:eastAsia="zh-TW"/>
        </w:rPr>
        <w:t>」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本身，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因為技術使得如此的觀看與進步的可能，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同時也是科技藝術中物體世界的呈現。</w:t>
      </w:r>
      <w:r w:rsidRPr="007417C2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</w:p>
    <w:p w:rsidR="00733344" w:rsidRPr="009C145C" w:rsidRDefault="00733344" w:rsidP="00733344">
      <w:pPr>
        <w:jc w:val="both"/>
        <w:rPr>
          <w:rFonts w:ascii="Times New Roman" w:eastAsiaTheme="minorEastAsia" w:hAnsi="Times New Roman" w:cs="Times New Roman"/>
          <w:color w:val="000000"/>
          <w:sz w:val="16"/>
          <w:szCs w:val="16"/>
          <w:lang w:eastAsia="zh-CN"/>
        </w:rPr>
      </w:pPr>
    </w:p>
    <w:p w:rsidR="00733344" w:rsidRPr="00733344" w:rsidRDefault="00733344" w:rsidP="00733344">
      <w:pPr>
        <w:jc w:val="both"/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</w:pP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那麼由這個人與物所開啓的世界是科技藝術的互動性，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更正確的說是一個</w:t>
      </w:r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>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互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被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動</w:t>
      </w:r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>」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。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因為在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《夏娃克隆啟系列》並非展現一個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等待參與者的創造以完成作品的互動情境，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相反的，更像是如紀傑克與法福特（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Robert </w:t>
      </w:r>
      <w:proofErr w:type="spellStart"/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Pfaller</w:t>
      </w:r>
      <w:proofErr w:type="spellEnd"/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）所言的</w:t>
      </w:r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>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互被動性</w:t>
      </w:r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>」（</w:t>
      </w:r>
      <w:proofErr w:type="spellStart"/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>interpassivity</w:t>
      </w:r>
      <w:proofErr w:type="spellEnd"/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>）</w:t>
      </w:r>
      <w:r w:rsidRPr="00733344">
        <w:rPr>
          <w:rStyle w:val="a9"/>
          <w:rFonts w:ascii="Times New Roman" w:eastAsiaTheme="minorEastAsia" w:hAnsi="Times New Roman" w:cs="Times New Roman"/>
          <w:sz w:val="20"/>
          <w:szCs w:val="16"/>
          <w:lang w:eastAsia="zh-TW"/>
        </w:rPr>
        <w:footnoteReference w:id="3"/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在於讓參與著投射於物件之中，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讓物件自我完成整個行動，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不需要參與者的投入，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所有的物體已經完成了他們意義的迴路。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這是在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既是</w:t>
      </w:r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>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被動</w:t>
      </w:r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>」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又是</w:t>
      </w:r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>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互相</w:t>
      </w:r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>」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吊詭陳述的意義，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讓主體觀看永遠朝向慾望開口的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開放性匱乏。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而這個開口正是一個「凝視的圈套」於科技所呈現的物的世界：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人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的本體不在人，而是一個他者的物件體系，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或者，人的匱乏就是科技。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</w:p>
    <w:p w:rsidR="00733344" w:rsidRPr="00733344" w:rsidRDefault="00733344" w:rsidP="00733344">
      <w:pPr>
        <w:jc w:val="both"/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</w:pPr>
    </w:p>
    <w:p w:rsidR="00733344" w:rsidRPr="00733344" w:rsidRDefault="00733344" w:rsidP="00733344">
      <w:pPr>
        <w:jc w:val="both"/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</w:pP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>這是一方面，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TW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在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林</w:t>
      </w:r>
      <w:proofErr w:type="gramStart"/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珮淳</w:t>
      </w:r>
      <w:proofErr w:type="gramEnd"/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的作品中，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 xml:space="preserve"> 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科技總是以他者的身分顯現的原因，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 xml:space="preserve"> 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作為存在狀態的它方</w:t>
      </w:r>
      <w:proofErr w:type="gramStart"/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──</w:t>
      </w:r>
      <w:proofErr w:type="gramEnd"/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>「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廢墟</w:t>
      </w:r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>」，</w:t>
      </w:r>
      <w:r w:rsidRPr="00733344">
        <w:rPr>
          <w:rFonts w:ascii="Times New Roman" w:eastAsiaTheme="minorEastAsia" w:hAnsi="Times New Roman" w:cs="Times New Roman"/>
          <w:sz w:val="20"/>
          <w:szCs w:val="16"/>
          <w:lang w:eastAsia="zh-TW"/>
        </w:rPr>
        <w:t xml:space="preserve"> 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或者一個科技成為人類文明的狀態；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 xml:space="preserve"> 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同時這個圈套也</w:t>
      </w:r>
      <w:proofErr w:type="gramStart"/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指向著</w:t>
      </w:r>
      <w:proofErr w:type="gramEnd"/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這些永遠匱乏的能指</w:t>
      </w:r>
      <w:proofErr w:type="gramStart"/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──</w:t>
      </w:r>
      <w:proofErr w:type="gramEnd"/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女人／撒旦／妓女／克隆等等。林</w:t>
      </w:r>
      <w:proofErr w:type="gramStart"/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珮淳</w:t>
      </w:r>
      <w:proofErr w:type="gramEnd"/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的作品創造出一個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「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越過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」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（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traverse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）科技</w:t>
      </w:r>
      <w:proofErr w:type="gramStart"/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的幻見情境</w:t>
      </w:r>
      <w:proofErr w:type="gramEnd"/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，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 xml:space="preserve"> 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如何能克隆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「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>匱乏</w:t>
      </w:r>
      <w:r w:rsidRPr="00733344">
        <w:rPr>
          <w:rFonts w:ascii="Times New Roman" w:eastAsiaTheme="minorEastAsia" w:hAnsi="Times New Roman" w:cs="Times New Roman"/>
          <w:bCs/>
          <w:color w:val="000000"/>
          <w:sz w:val="20"/>
          <w:szCs w:val="16"/>
          <w:lang w:eastAsia="zh-TW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」？只有在一個缺陷而不完整的擬像中顯現，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>讓我們一起陷入的科技作為廢墟的情境：「我看到我自己在看科技狀態」的情境之中，這是一個從「克隆」所開啓的啓示。</w:t>
      </w:r>
      <w:r w:rsidRPr="00733344">
        <w:rPr>
          <w:rFonts w:ascii="Times New Roman" w:eastAsiaTheme="minorEastAsia" w:hAnsi="Times New Roman" w:cs="Times New Roman"/>
          <w:color w:val="000000"/>
          <w:sz w:val="20"/>
          <w:szCs w:val="16"/>
          <w:lang w:eastAsia="zh-CN"/>
        </w:rPr>
        <w:t xml:space="preserve"> </w:t>
      </w:r>
      <w:bookmarkStart w:id="0" w:name="_GoBack"/>
      <w:bookmarkEnd w:id="0"/>
    </w:p>
    <w:p w:rsidR="009403A0" w:rsidRDefault="009403A0">
      <w:pPr>
        <w:rPr>
          <w:lang w:eastAsia="zh-TW"/>
        </w:rPr>
      </w:pPr>
    </w:p>
    <w:sectPr w:rsidR="009403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DD" w:rsidRDefault="00FC47DD" w:rsidP="00733344">
      <w:r>
        <w:separator/>
      </w:r>
    </w:p>
  </w:endnote>
  <w:endnote w:type="continuationSeparator" w:id="0">
    <w:p w:rsidR="00FC47DD" w:rsidRDefault="00FC47DD" w:rsidP="0073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DD" w:rsidRDefault="00FC47DD" w:rsidP="00733344">
      <w:r>
        <w:separator/>
      </w:r>
    </w:p>
  </w:footnote>
  <w:footnote w:type="continuationSeparator" w:id="0">
    <w:p w:rsidR="00FC47DD" w:rsidRDefault="00FC47DD" w:rsidP="00733344">
      <w:r>
        <w:continuationSeparator/>
      </w:r>
    </w:p>
  </w:footnote>
  <w:footnote w:id="1">
    <w:p w:rsidR="00733344" w:rsidRPr="008D354C" w:rsidRDefault="00733344" w:rsidP="00733344">
      <w:pPr>
        <w:pStyle w:val="a7"/>
        <w:rPr>
          <w:sz w:val="16"/>
          <w:szCs w:val="16"/>
        </w:rPr>
      </w:pPr>
      <w:r>
        <w:rPr>
          <w:rFonts w:eastAsiaTheme="minorEastAsia" w:hint="eastAsia"/>
          <w:color w:val="000000"/>
          <w:sz w:val="16"/>
          <w:szCs w:val="16"/>
        </w:rPr>
        <w:t>1</w:t>
      </w:r>
      <w:r w:rsidRPr="008D354C">
        <w:rPr>
          <w:rFonts w:eastAsia="SimSun"/>
          <w:color w:val="000000"/>
          <w:sz w:val="16"/>
          <w:szCs w:val="16"/>
          <w:lang w:eastAsia="zh-CN"/>
        </w:rPr>
        <w:t xml:space="preserve">, Jacques </w:t>
      </w:r>
      <w:proofErr w:type="spellStart"/>
      <w:r w:rsidRPr="008D354C">
        <w:rPr>
          <w:rFonts w:eastAsia="SimSun"/>
          <w:color w:val="000000"/>
          <w:sz w:val="16"/>
          <w:szCs w:val="16"/>
          <w:lang w:eastAsia="zh-CN"/>
        </w:rPr>
        <w:t>Lacan</w:t>
      </w:r>
      <w:proofErr w:type="spellEnd"/>
      <w:r w:rsidRPr="008D354C">
        <w:rPr>
          <w:rFonts w:eastAsia="SimSun"/>
          <w:color w:val="000000"/>
          <w:sz w:val="16"/>
          <w:szCs w:val="16"/>
          <w:lang w:eastAsia="zh-CN"/>
        </w:rPr>
        <w:t xml:space="preserve">, The Seminar of Jacques </w:t>
      </w:r>
      <w:proofErr w:type="spellStart"/>
      <w:r w:rsidRPr="008D354C">
        <w:rPr>
          <w:rFonts w:eastAsia="SimSun"/>
          <w:color w:val="000000"/>
          <w:sz w:val="16"/>
          <w:szCs w:val="16"/>
          <w:lang w:eastAsia="zh-CN"/>
        </w:rPr>
        <w:t>Lacan</w:t>
      </w:r>
      <w:proofErr w:type="spellEnd"/>
      <w:r w:rsidRPr="008D354C">
        <w:rPr>
          <w:rFonts w:eastAsia="SimSun"/>
          <w:color w:val="000000"/>
          <w:sz w:val="16"/>
          <w:szCs w:val="16"/>
          <w:lang w:eastAsia="zh-CN"/>
        </w:rPr>
        <w:t>, Book I. edit Jacques-</w:t>
      </w:r>
      <w:proofErr w:type="spellStart"/>
      <w:r w:rsidRPr="008D354C">
        <w:rPr>
          <w:rFonts w:eastAsia="SimSun"/>
          <w:color w:val="000000"/>
          <w:sz w:val="16"/>
          <w:szCs w:val="16"/>
          <w:lang w:eastAsia="zh-CN"/>
        </w:rPr>
        <w:t>Allain</w:t>
      </w:r>
      <w:proofErr w:type="spellEnd"/>
      <w:r w:rsidRPr="008D354C">
        <w:rPr>
          <w:rFonts w:eastAsia="SimSun"/>
          <w:color w:val="000000"/>
          <w:sz w:val="16"/>
          <w:szCs w:val="16"/>
          <w:lang w:eastAsia="zh-CN"/>
        </w:rPr>
        <w:t xml:space="preserve"> Miller</w:t>
      </w:r>
      <w:proofErr w:type="gramStart"/>
      <w:r w:rsidRPr="008D354C">
        <w:rPr>
          <w:rFonts w:eastAsia="SimSun"/>
          <w:color w:val="000000"/>
          <w:sz w:val="16"/>
          <w:szCs w:val="16"/>
          <w:lang w:eastAsia="zh-CN"/>
        </w:rPr>
        <w:t>,  trans</w:t>
      </w:r>
      <w:proofErr w:type="gramEnd"/>
      <w:r w:rsidRPr="008D354C">
        <w:rPr>
          <w:rFonts w:eastAsia="SimSun"/>
          <w:color w:val="000000"/>
          <w:sz w:val="16"/>
          <w:szCs w:val="16"/>
          <w:lang w:eastAsia="zh-CN"/>
        </w:rPr>
        <w:t xml:space="preserve"> John Forester (New York: Norton Co. , 1988 ),</w:t>
      </w:r>
      <w:r w:rsidRPr="008D354C">
        <w:rPr>
          <w:sz w:val="16"/>
          <w:szCs w:val="16"/>
        </w:rPr>
        <w:t xml:space="preserve"> 215.</w:t>
      </w:r>
    </w:p>
  </w:footnote>
  <w:footnote w:id="2">
    <w:p w:rsidR="00733344" w:rsidRPr="008D354C" w:rsidRDefault="00733344" w:rsidP="00733344">
      <w:pPr>
        <w:pStyle w:val="a7"/>
        <w:rPr>
          <w:sz w:val="16"/>
          <w:szCs w:val="16"/>
        </w:rPr>
      </w:pPr>
      <w:r w:rsidRPr="008D354C">
        <w:rPr>
          <w:rStyle w:val="a9"/>
          <w:sz w:val="16"/>
          <w:szCs w:val="16"/>
        </w:rPr>
        <w:footnoteRef/>
      </w:r>
      <w:r w:rsidRPr="008D354C">
        <w:rPr>
          <w:sz w:val="16"/>
          <w:szCs w:val="16"/>
        </w:rPr>
        <w:t xml:space="preserve"> </w:t>
      </w:r>
      <w:r w:rsidRPr="008D354C">
        <w:rPr>
          <w:rFonts w:eastAsia="新細明體"/>
          <w:color w:val="000000"/>
          <w:sz w:val="16"/>
          <w:szCs w:val="16"/>
        </w:rPr>
        <w:t xml:space="preserve">See Jacques </w:t>
      </w:r>
      <w:proofErr w:type="spellStart"/>
      <w:r w:rsidRPr="008D354C">
        <w:rPr>
          <w:rFonts w:eastAsia="新細明體"/>
          <w:color w:val="000000"/>
          <w:sz w:val="16"/>
          <w:szCs w:val="16"/>
        </w:rPr>
        <w:t>Lacan</w:t>
      </w:r>
      <w:proofErr w:type="spellEnd"/>
      <w:r w:rsidRPr="008D354C">
        <w:rPr>
          <w:rFonts w:eastAsia="新細明體"/>
          <w:color w:val="000000"/>
          <w:sz w:val="16"/>
          <w:szCs w:val="16"/>
        </w:rPr>
        <w:t xml:space="preserve">, </w:t>
      </w:r>
      <w:r w:rsidRPr="008D354C">
        <w:rPr>
          <w:rFonts w:eastAsia="SimSun"/>
          <w:color w:val="000000"/>
          <w:sz w:val="16"/>
          <w:szCs w:val="16"/>
          <w:lang w:eastAsia="zh-CN"/>
        </w:rPr>
        <w:t xml:space="preserve">The seminar of Jacques </w:t>
      </w:r>
      <w:proofErr w:type="spellStart"/>
      <w:r w:rsidRPr="008D354C">
        <w:rPr>
          <w:rFonts w:eastAsia="SimSun"/>
          <w:color w:val="000000"/>
          <w:sz w:val="16"/>
          <w:szCs w:val="16"/>
          <w:lang w:eastAsia="zh-CN"/>
        </w:rPr>
        <w:t>Lacan</w:t>
      </w:r>
      <w:proofErr w:type="spellEnd"/>
      <w:r w:rsidRPr="008D354C">
        <w:rPr>
          <w:rFonts w:eastAsia="SimSun"/>
          <w:color w:val="000000"/>
          <w:sz w:val="16"/>
          <w:szCs w:val="16"/>
          <w:lang w:eastAsia="zh-CN"/>
        </w:rPr>
        <w:t>, Book VII. edit Jacques-</w:t>
      </w:r>
      <w:proofErr w:type="spellStart"/>
      <w:r w:rsidRPr="008D354C">
        <w:rPr>
          <w:rFonts w:eastAsia="SimSun"/>
          <w:color w:val="000000"/>
          <w:sz w:val="16"/>
          <w:szCs w:val="16"/>
          <w:lang w:eastAsia="zh-CN"/>
        </w:rPr>
        <w:t>Allain</w:t>
      </w:r>
      <w:proofErr w:type="spellEnd"/>
      <w:r w:rsidRPr="008D354C">
        <w:rPr>
          <w:rFonts w:eastAsia="SimSun"/>
          <w:color w:val="000000"/>
          <w:sz w:val="16"/>
          <w:szCs w:val="16"/>
          <w:lang w:eastAsia="zh-CN"/>
        </w:rPr>
        <w:t xml:space="preserve"> Miller,  trans </w:t>
      </w:r>
      <w:proofErr w:type="spellStart"/>
      <w:r w:rsidRPr="008D354C">
        <w:rPr>
          <w:rFonts w:eastAsia="SimSun"/>
          <w:color w:val="000000"/>
          <w:sz w:val="16"/>
          <w:szCs w:val="16"/>
          <w:lang w:eastAsia="zh-CN"/>
        </w:rPr>
        <w:t>Dannis</w:t>
      </w:r>
      <w:proofErr w:type="spellEnd"/>
      <w:r w:rsidRPr="008D354C">
        <w:rPr>
          <w:rFonts w:eastAsia="SimSun"/>
          <w:color w:val="000000"/>
          <w:sz w:val="16"/>
          <w:szCs w:val="16"/>
          <w:lang w:eastAsia="zh-CN"/>
        </w:rPr>
        <w:t xml:space="preserve"> Porter (New York: </w:t>
      </w:r>
      <w:proofErr w:type="spellStart"/>
      <w:r w:rsidRPr="008D354C">
        <w:rPr>
          <w:rFonts w:eastAsia="SimSun"/>
          <w:color w:val="000000"/>
          <w:sz w:val="16"/>
          <w:szCs w:val="16"/>
          <w:lang w:eastAsia="zh-CN"/>
        </w:rPr>
        <w:t>Routledge</w:t>
      </w:r>
      <w:proofErr w:type="spellEnd"/>
      <w:r w:rsidRPr="008D354C">
        <w:rPr>
          <w:rFonts w:eastAsia="SimSun"/>
          <w:color w:val="000000"/>
          <w:sz w:val="16"/>
          <w:szCs w:val="16"/>
          <w:lang w:eastAsia="zh-CN"/>
        </w:rPr>
        <w:t xml:space="preserve"> P, 1988 )141</w:t>
      </w:r>
    </w:p>
  </w:footnote>
  <w:footnote w:id="3">
    <w:p w:rsidR="00733344" w:rsidRDefault="00733344" w:rsidP="00733344">
      <w:r w:rsidRPr="008D354C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8D354C">
        <w:rPr>
          <w:rFonts w:ascii="Times New Roman" w:hAnsi="Times New Roman" w:cs="Times New Roman"/>
          <w:sz w:val="16"/>
          <w:szCs w:val="16"/>
        </w:rPr>
        <w:t xml:space="preserve"> Robert </w:t>
      </w:r>
      <w:proofErr w:type="spellStart"/>
      <w:r w:rsidRPr="008D354C">
        <w:rPr>
          <w:rFonts w:ascii="Times New Roman" w:hAnsi="Times New Roman" w:cs="Times New Roman"/>
          <w:sz w:val="16"/>
          <w:szCs w:val="16"/>
        </w:rPr>
        <w:t>Pfaller</w:t>
      </w:r>
      <w:proofErr w:type="spellEnd"/>
      <w:r w:rsidRPr="008D354C">
        <w:rPr>
          <w:rFonts w:ascii="Times New Roman" w:hAnsi="Times New Roman" w:cs="Times New Roman"/>
          <w:sz w:val="16"/>
          <w:szCs w:val="16"/>
        </w:rPr>
        <w:t xml:space="preserve">, Backup of Little Gestures of Disappearance: </w:t>
      </w:r>
      <w:proofErr w:type="spellStart"/>
      <w:r w:rsidRPr="008D354C">
        <w:rPr>
          <w:rFonts w:ascii="Times New Roman" w:hAnsi="Times New Roman" w:cs="Times New Roman"/>
          <w:sz w:val="16"/>
          <w:szCs w:val="16"/>
        </w:rPr>
        <w:t>Interpassivity</w:t>
      </w:r>
      <w:proofErr w:type="spellEnd"/>
      <w:r w:rsidRPr="008D354C">
        <w:rPr>
          <w:rFonts w:ascii="Times New Roman" w:hAnsi="Times New Roman" w:cs="Times New Roman"/>
          <w:sz w:val="16"/>
          <w:szCs w:val="16"/>
        </w:rPr>
        <w:t xml:space="preserve"> and the Theory of Ritual. </w:t>
      </w:r>
      <w:hyperlink r:id="rId1" w:history="1">
        <w:r w:rsidRPr="008D354C">
          <w:rPr>
            <w:rStyle w:val="aa"/>
            <w:rFonts w:ascii="Times New Roman" w:hAnsi="Times New Roman" w:cs="Times New Roman"/>
            <w:sz w:val="16"/>
            <w:szCs w:val="16"/>
          </w:rPr>
          <w:t>http://www.csudh.edu/dearhabermas/interpassbk01.htm</w:t>
        </w:r>
      </w:hyperlink>
      <w:r w:rsidRPr="008D354C">
        <w:rPr>
          <w:rFonts w:ascii="Times New Roman" w:hAnsi="Times New Roman" w:cs="Times New Roman"/>
          <w:sz w:val="16"/>
          <w:szCs w:val="16"/>
        </w:rPr>
        <w:t xml:space="preserve">, June, 30, 2011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EC"/>
    <w:rsid w:val="002822EC"/>
    <w:rsid w:val="00733344"/>
    <w:rsid w:val="009403A0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44"/>
    <w:rPr>
      <w:rFonts w:eastAsia="新細明體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44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3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344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33344"/>
    <w:rPr>
      <w:sz w:val="20"/>
      <w:szCs w:val="20"/>
    </w:rPr>
  </w:style>
  <w:style w:type="paragraph" w:styleId="a7">
    <w:name w:val="footnote text"/>
    <w:basedOn w:val="a"/>
    <w:link w:val="a8"/>
    <w:semiHidden/>
    <w:rsid w:val="00733344"/>
    <w:rPr>
      <w:rFonts w:ascii="Times New Roman" w:eastAsia="MS Mincho" w:hAnsi="Times New Roman" w:cs="Times New Roman"/>
      <w:lang w:eastAsia="zh-TW"/>
    </w:rPr>
  </w:style>
  <w:style w:type="character" w:customStyle="1" w:styleId="a8">
    <w:name w:val="註腳文字 字元"/>
    <w:basedOn w:val="a0"/>
    <w:link w:val="a7"/>
    <w:semiHidden/>
    <w:rsid w:val="00733344"/>
    <w:rPr>
      <w:rFonts w:ascii="Times New Roman" w:eastAsia="MS Mincho" w:hAnsi="Times New Roman" w:cs="Times New Roman"/>
      <w:kern w:val="0"/>
      <w:szCs w:val="24"/>
    </w:rPr>
  </w:style>
  <w:style w:type="character" w:styleId="a9">
    <w:name w:val="footnote reference"/>
    <w:basedOn w:val="a0"/>
    <w:semiHidden/>
    <w:rsid w:val="00733344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73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44"/>
    <w:rPr>
      <w:rFonts w:eastAsia="新細明體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44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3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344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33344"/>
    <w:rPr>
      <w:sz w:val="20"/>
      <w:szCs w:val="20"/>
    </w:rPr>
  </w:style>
  <w:style w:type="paragraph" w:styleId="a7">
    <w:name w:val="footnote text"/>
    <w:basedOn w:val="a"/>
    <w:link w:val="a8"/>
    <w:semiHidden/>
    <w:rsid w:val="00733344"/>
    <w:rPr>
      <w:rFonts w:ascii="Times New Roman" w:eastAsia="MS Mincho" w:hAnsi="Times New Roman" w:cs="Times New Roman"/>
      <w:lang w:eastAsia="zh-TW"/>
    </w:rPr>
  </w:style>
  <w:style w:type="character" w:customStyle="1" w:styleId="a8">
    <w:name w:val="註腳文字 字元"/>
    <w:basedOn w:val="a0"/>
    <w:link w:val="a7"/>
    <w:semiHidden/>
    <w:rsid w:val="00733344"/>
    <w:rPr>
      <w:rFonts w:ascii="Times New Roman" w:eastAsia="MS Mincho" w:hAnsi="Times New Roman" w:cs="Times New Roman"/>
      <w:kern w:val="0"/>
      <w:szCs w:val="24"/>
    </w:rPr>
  </w:style>
  <w:style w:type="character" w:styleId="a9">
    <w:name w:val="footnote reference"/>
    <w:basedOn w:val="a0"/>
    <w:semiHidden/>
    <w:rsid w:val="00733344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73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dh.edu/dearhabermas/interpassbk01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CE</cp:lastModifiedBy>
  <cp:revision>2</cp:revision>
  <dcterms:created xsi:type="dcterms:W3CDTF">2011-10-12T13:36:00Z</dcterms:created>
  <dcterms:modified xsi:type="dcterms:W3CDTF">2011-10-12T13:37:00Z</dcterms:modified>
</cp:coreProperties>
</file>